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55F">
      <w:pPr>
        <w:ind w:right="-54"/>
        <w:jc w:val="center"/>
      </w:pPr>
      <w:r>
        <w:rPr>
          <w:b/>
          <w:bCs/>
        </w:rPr>
        <w:t>Протокол № 549693-Р</w:t>
      </w:r>
    </w:p>
    <w:p w:rsidR="00000000" w:rsidRDefault="0022555F">
      <w:pPr>
        <w:ind w:right="-54"/>
        <w:jc w:val="center"/>
      </w:pPr>
      <w:r>
        <w:rPr>
          <w:b/>
          <w:bCs/>
        </w:rPr>
        <w:t>рассмотрения предложений на запросе цен (объявлении о покупке) № 549693</w:t>
      </w:r>
    </w:p>
    <w:p w:rsidR="00000000" w:rsidRDefault="0022555F">
      <w:r>
        <w:t> </w:t>
      </w:r>
    </w:p>
    <w:p w:rsidR="00000000" w:rsidRDefault="0022555F">
      <w:r>
        <w:rPr>
          <w:b/>
          <w:bCs/>
        </w:rPr>
        <w:t>Предмет запроса цен (объявления о покупке):</w:t>
      </w:r>
      <w:r>
        <w:br/>
      </w:r>
      <w:r>
        <w:t>Открытый запрос цен на право заключения договора на поставку фундаментов под анкерные опоры для нужд ОАО «Янтарьэнергосервис».</w:t>
      </w:r>
    </w:p>
    <w:p w:rsidR="00000000" w:rsidRDefault="0022555F">
      <w:r>
        <w:t> </w:t>
      </w:r>
    </w:p>
    <w:p w:rsidR="00000000" w:rsidRDefault="0022555F">
      <w:pPr>
        <w:pStyle w:val="8"/>
        <w:keepNext w:val="0"/>
        <w:autoSpaceDE/>
        <w:ind w:right="-54"/>
      </w:pPr>
      <w:r>
        <w:t>23.09.2015                                                                                                                     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                                                                    г.Калининград,ул.Театральная 34,каб.313</w:t>
      </w:r>
    </w:p>
    <w:p w:rsidR="00000000" w:rsidRDefault="0022555F">
      <w:pPr>
        <w:ind w:right="-54" w:firstLine="720"/>
        <w:jc w:val="both"/>
      </w:pPr>
      <w:r>
        <w:t> </w:t>
      </w:r>
    </w:p>
    <w:p w:rsidR="00000000" w:rsidRDefault="0022555F">
      <w:pPr>
        <w:ind w:right="-54" w:firstLine="720"/>
        <w:jc w:val="both"/>
      </w:pPr>
      <w:r>
        <w:t> </w:t>
      </w:r>
    </w:p>
    <w:p w:rsidR="00000000" w:rsidRDefault="0022555F">
      <w:pPr>
        <w:spacing w:after="240"/>
        <w:ind w:right="-57" w:firstLine="720"/>
      </w:pPr>
      <w:r>
        <w:rPr>
          <w:b/>
          <w:bCs/>
        </w:rPr>
        <w:t>Состав комиссии</w:t>
      </w:r>
      <w:r>
        <w:br/>
        <w:t>На заседании комиссии по рассмотрению поданных в ходе запроса цен (объявления о покупке) присутствовали</w:t>
      </w:r>
      <w:r>
        <w:t>:</w:t>
      </w:r>
    </w:p>
    <w:p w:rsidR="00000000" w:rsidRDefault="0022555F">
      <w:pPr>
        <w:pStyle w:val="ab"/>
        <w:ind w:right="-57" w:firstLine="709"/>
        <w:jc w:val="both"/>
      </w:pPr>
      <w:r>
        <w:rPr>
          <w:sz w:val="24"/>
          <w:szCs w:val="24"/>
          <w:u w:val="single"/>
        </w:rPr>
        <w:t>председатель комиссии</w:t>
      </w:r>
      <w:r>
        <w:rPr>
          <w:sz w:val="24"/>
          <w:szCs w:val="24"/>
        </w:rPr>
        <w:t>: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Копылов В.А.,</w:t>
      </w:r>
      <w:r>
        <w:rPr>
          <w:b w:val="0"/>
          <w:bCs w:val="0"/>
          <w:color w:val="000000"/>
          <w:sz w:val="24"/>
          <w:szCs w:val="24"/>
        </w:rPr>
        <w:t xml:space="preserve"> Первый заместитель генерального директора-главный инженер-заместитель руководителя ЦЗО;</w:t>
      </w:r>
    </w:p>
    <w:p w:rsidR="00000000" w:rsidRDefault="0022555F">
      <w:pPr>
        <w:pStyle w:val="ab"/>
        <w:ind w:firstLine="709"/>
        <w:jc w:val="both"/>
      </w:pPr>
      <w:r>
        <w:rPr>
          <w:sz w:val="24"/>
          <w:szCs w:val="24"/>
          <w:u w:val="single"/>
        </w:rPr>
        <w:t>члены комиссии</w:t>
      </w:r>
      <w:r>
        <w:rPr>
          <w:sz w:val="24"/>
          <w:szCs w:val="24"/>
        </w:rPr>
        <w:t>:</w:t>
      </w:r>
    </w:p>
    <w:p w:rsidR="00000000" w:rsidRDefault="0022555F">
      <w:pPr>
        <w:pStyle w:val="ab"/>
        <w:ind w:firstLine="709"/>
        <w:jc w:val="both"/>
      </w:pPr>
      <w:r>
        <w:rPr>
          <w:color w:val="000000"/>
          <w:sz w:val="24"/>
          <w:szCs w:val="24"/>
        </w:rPr>
        <w:t>Зимин Г.А. (заместитель председателя комиссии)</w:t>
      </w:r>
      <w:r>
        <w:rPr>
          <w:b w:val="0"/>
          <w:bCs w:val="0"/>
          <w:color w:val="000000"/>
          <w:sz w:val="24"/>
          <w:szCs w:val="24"/>
        </w:rPr>
        <w:t>, Заместитель генерального директора по безопасности;</w:t>
      </w:r>
    </w:p>
    <w:p w:rsidR="00000000" w:rsidRDefault="0022555F">
      <w:pPr>
        <w:pStyle w:val="ab"/>
        <w:ind w:firstLine="709"/>
        <w:jc w:val="both"/>
      </w:pPr>
      <w:r>
        <w:rPr>
          <w:color w:val="000000"/>
          <w:sz w:val="24"/>
          <w:szCs w:val="24"/>
        </w:rPr>
        <w:t>Мирманов А.</w:t>
      </w:r>
      <w:r>
        <w:rPr>
          <w:color w:val="000000"/>
          <w:sz w:val="24"/>
          <w:szCs w:val="24"/>
        </w:rPr>
        <w:t>В. (заместитель председателя комиссии)</w:t>
      </w:r>
      <w:r>
        <w:rPr>
          <w:b w:val="0"/>
          <w:bCs w:val="0"/>
          <w:color w:val="000000"/>
          <w:sz w:val="24"/>
          <w:szCs w:val="24"/>
        </w:rPr>
        <w:t>, Генеральный директор ОАО "Янтарьэнергосервис";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Синицин В.В.</w:t>
      </w:r>
      <w:r>
        <w:rPr>
          <w:b w:val="0"/>
          <w:bCs w:val="0"/>
          <w:color w:val="000000"/>
          <w:sz w:val="24"/>
          <w:szCs w:val="24"/>
        </w:rPr>
        <w:t>, Начальник Департамента логистики и МТО;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Наливайко С.Г.</w:t>
      </w:r>
      <w:r>
        <w:rPr>
          <w:b w:val="0"/>
          <w:bCs w:val="0"/>
          <w:color w:val="000000"/>
          <w:sz w:val="24"/>
          <w:szCs w:val="24"/>
        </w:rPr>
        <w:t>, Заместитель директора дирекции внутреннего аудита и управления рисками;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Стельнова Е.Н.</w:t>
      </w:r>
      <w:r>
        <w:rPr>
          <w:b w:val="0"/>
          <w:bCs w:val="0"/>
          <w:color w:val="000000"/>
          <w:sz w:val="24"/>
          <w:szCs w:val="24"/>
        </w:rPr>
        <w:t>, Начальник д</w:t>
      </w:r>
      <w:r>
        <w:rPr>
          <w:b w:val="0"/>
          <w:bCs w:val="0"/>
          <w:color w:val="000000"/>
          <w:sz w:val="24"/>
          <w:szCs w:val="24"/>
        </w:rPr>
        <w:t>епартамента финансов;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Душкина А.Н.</w:t>
      </w:r>
      <w:r>
        <w:rPr>
          <w:b w:val="0"/>
          <w:bCs w:val="0"/>
          <w:color w:val="000000"/>
          <w:sz w:val="24"/>
          <w:szCs w:val="24"/>
        </w:rPr>
        <w:t>, Ведущий инженер отдела материально-технического обеспечения ДЛиМТО;</w:t>
      </w:r>
    </w:p>
    <w:p w:rsidR="00000000" w:rsidRDefault="0022555F">
      <w:pPr>
        <w:pStyle w:val="ab"/>
        <w:ind w:right="-57" w:firstLine="709"/>
        <w:jc w:val="both"/>
      </w:pPr>
      <w:r>
        <w:rPr>
          <w:sz w:val="24"/>
          <w:szCs w:val="24"/>
          <w:u w:val="single"/>
        </w:rPr>
        <w:t>секретарь комиссии</w:t>
      </w:r>
      <w:r>
        <w:rPr>
          <w:sz w:val="24"/>
          <w:szCs w:val="24"/>
        </w:rPr>
        <w:t>:</w:t>
      </w:r>
    </w:p>
    <w:p w:rsidR="00000000" w:rsidRDefault="0022555F">
      <w:pPr>
        <w:pStyle w:val="ab"/>
        <w:ind w:firstLine="720"/>
        <w:jc w:val="both"/>
      </w:pPr>
      <w:r>
        <w:rPr>
          <w:color w:val="000000"/>
          <w:sz w:val="24"/>
          <w:szCs w:val="24"/>
        </w:rPr>
        <w:t>Савченко А.И.</w:t>
      </w:r>
      <w:r>
        <w:rPr>
          <w:b w:val="0"/>
          <w:bCs w:val="0"/>
          <w:color w:val="000000"/>
          <w:sz w:val="24"/>
          <w:szCs w:val="24"/>
        </w:rPr>
        <w:t>, Начальник управления конкурсных процедур;</w:t>
      </w:r>
    </w:p>
    <w:p w:rsidR="00000000" w:rsidRDefault="0022555F">
      <w:pPr>
        <w:jc w:val="center"/>
      </w:pPr>
      <w:r>
        <w:rPr>
          <w:b/>
          <w:bCs/>
        </w:rPr>
        <w:t> </w:t>
      </w:r>
    </w:p>
    <w:p w:rsidR="00000000" w:rsidRDefault="0022555F">
      <w:pPr>
        <w:jc w:val="center"/>
      </w:pPr>
      <w:r>
        <w:rPr>
          <w:b/>
          <w:bCs/>
        </w:rPr>
        <w:t> </w:t>
      </w:r>
    </w:p>
    <w:p w:rsidR="00000000" w:rsidRDefault="0022555F">
      <w:pPr>
        <w:pStyle w:val="21"/>
      </w:pPr>
      <w:r>
        <w:rPr>
          <w:sz w:val="28"/>
          <w:szCs w:val="28"/>
        </w:rPr>
        <w:t>1. Сведения о претендентах на участие в запросе цен (объявлении о покупке), подавших заявки на участие в запросе цен (объявлении о покупке)</w:t>
      </w:r>
    </w:p>
    <w:p w:rsidR="00000000" w:rsidRDefault="0022555F">
      <w:pPr>
        <w:jc w:val="center"/>
      </w:pPr>
      <w:r>
        <w:rPr>
          <w:b/>
          <w:bCs/>
        </w:rPr>
        <w:t> </w:t>
      </w:r>
    </w:p>
    <w:tbl>
      <w:tblPr>
        <w:tblW w:w="146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51"/>
        <w:gridCol w:w="4189"/>
        <w:gridCol w:w="4884"/>
        <w:gridCol w:w="4616"/>
      </w:tblGrid>
      <w:tr w:rsidR="00000000">
        <w:trPr>
          <w:trHeight w:val="227"/>
          <w:tblHeader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</w:rPr>
              <w:t>Рег. №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 запроса цен (объявления о покупке)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</w:rPr>
              <w:t>Почтовый адрес участника запроса цен (объя</w:t>
            </w:r>
            <w:r>
              <w:rPr>
                <w:b/>
                <w:bCs/>
              </w:rPr>
              <w:t>вления о покупке)</w:t>
            </w:r>
          </w:p>
        </w:tc>
        <w:tc>
          <w:tcPr>
            <w:tcW w:w="4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</w:rPr>
              <w:t>Юридический адрес участника запроса цен (объявления о покупке)</w:t>
            </w:r>
          </w:p>
        </w:tc>
      </w:tr>
      <w:tr w:rsidR="000000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sz w:val="22"/>
                <w:szCs w:val="22"/>
              </w:rPr>
              <w:t>549693-103684</w:t>
            </w:r>
          </w:p>
        </w:tc>
        <w:tc>
          <w:tcPr>
            <w:tcW w:w="429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ind w:right="-108"/>
            </w:pPr>
            <w:r>
              <w:rPr>
                <w:sz w:val="22"/>
                <w:szCs w:val="22"/>
              </w:rPr>
              <w:t>ООО "Лидер-Строй"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236034, Калининградская область, г. Калининград, ул. Дзержинского 246 "Б"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236006, г. Калининград, ул. Барнаульская, д. 2, оф. 322</w:t>
            </w:r>
          </w:p>
        </w:tc>
      </w:tr>
      <w:tr w:rsidR="000000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sz w:val="22"/>
                <w:szCs w:val="22"/>
              </w:rPr>
              <w:t>549693-12614</w:t>
            </w:r>
          </w:p>
        </w:tc>
        <w:tc>
          <w:tcPr>
            <w:tcW w:w="429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ind w:right="-108"/>
            </w:pPr>
            <w:r>
              <w:rPr>
                <w:sz w:val="22"/>
                <w:szCs w:val="22"/>
              </w:rPr>
              <w:t>ООО "ЭнергоКомплект"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236022, Россия, г. Калининград, ул. Репина, д. 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Россия 238300 Калининградская область, Гурьевский район, поселок Дружное, ул. Дзержинского, 246</w:t>
            </w:r>
          </w:p>
        </w:tc>
      </w:tr>
    </w:tbl>
    <w:p w:rsidR="00000000" w:rsidRDefault="0022555F">
      <w:pPr>
        <w:pStyle w:val="21"/>
      </w:pPr>
      <w:r>
        <w:rPr>
          <w:sz w:val="28"/>
          <w:szCs w:val="28"/>
        </w:rPr>
        <w:t> </w:t>
      </w:r>
    </w:p>
    <w:p w:rsidR="00000000" w:rsidRDefault="0022555F">
      <w:pPr>
        <w:pStyle w:val="21"/>
      </w:pPr>
      <w:r>
        <w:rPr>
          <w:sz w:val="28"/>
          <w:szCs w:val="28"/>
        </w:rPr>
        <w:t> </w:t>
      </w:r>
    </w:p>
    <w:p w:rsidR="00000000" w:rsidRDefault="0022555F">
      <w:pPr>
        <w:pStyle w:val="21"/>
      </w:pPr>
      <w:r>
        <w:rPr>
          <w:sz w:val="28"/>
          <w:szCs w:val="28"/>
        </w:rPr>
        <w:lastRenderedPageBreak/>
        <w:t>2. Решение о допуске предложений участников запроса цен (объявления о покупке) к итоговой оценке предложений</w:t>
      </w:r>
    </w:p>
    <w:p w:rsidR="00000000" w:rsidRDefault="0022555F">
      <w:pPr>
        <w:pStyle w:val="21"/>
      </w:pPr>
      <w:r>
        <w:rPr>
          <w:sz w:val="22"/>
          <w:szCs w:val="22"/>
        </w:rPr>
        <w:t> </w:t>
      </w:r>
    </w:p>
    <w:p w:rsidR="00000000" w:rsidRDefault="0022555F">
      <w:pPr>
        <w:pStyle w:val="a7"/>
        <w:ind w:firstLine="720"/>
      </w:pPr>
      <w:r>
        <w:t xml:space="preserve">Комиссия, руководствуясь требованиями Документации, регламентирующей порядок проведения запроса цен (объявления о покупке), провела рассмотрение </w:t>
      </w:r>
      <w:r>
        <w:t>заявок, представленных на участие в запросе цен (объявлении о покупке).</w:t>
      </w:r>
    </w:p>
    <w:p w:rsidR="00000000" w:rsidRDefault="0022555F">
      <w:pPr>
        <w:ind w:firstLine="720"/>
        <w:jc w:val="both"/>
      </w:pPr>
      <w:r>
        <w:t>В результате рассмотрения и изучения заявок на участие в запросе цен (объявлении о покупке) и документов к ним, комиссия приняла решение:</w:t>
      </w:r>
    </w:p>
    <w:p w:rsidR="00000000" w:rsidRDefault="0022555F">
      <w:pPr>
        <w:ind w:firstLine="720"/>
        <w:jc w:val="both"/>
      </w:pPr>
      <w:r>
        <w:rPr>
          <w:b/>
          <w:bCs/>
          <w:sz w:val="22"/>
          <w:szCs w:val="22"/>
        </w:rPr>
        <w:t> </w:t>
      </w:r>
    </w:p>
    <w:p w:rsidR="00000000" w:rsidRDefault="0022555F">
      <w:pPr>
        <w:ind w:firstLine="720"/>
        <w:jc w:val="both"/>
      </w:pPr>
      <w:r>
        <w:rPr>
          <w:b/>
          <w:bCs/>
        </w:rPr>
        <w:t>2.1.   Допустить к итоговой оценке следующие</w:t>
      </w:r>
      <w:r>
        <w:rPr>
          <w:b/>
          <w:bCs/>
        </w:rPr>
        <w:t xml:space="preserve"> предложения участников запроса цен (объявления о покупке), подавших заявки на участие в запросе цен (объявлении о покупке):</w:t>
      </w:r>
    </w:p>
    <w:p w:rsidR="00000000" w:rsidRDefault="0022555F">
      <w:pPr>
        <w:ind w:firstLine="720"/>
        <w:jc w:val="both"/>
      </w:pPr>
      <w:r>
        <w:rPr>
          <w:sz w:val="22"/>
          <w:szCs w:val="22"/>
        </w:rPr>
        <w:t> </w:t>
      </w:r>
    </w:p>
    <w:tbl>
      <w:tblPr>
        <w:tblW w:w="147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50"/>
        <w:gridCol w:w="5628"/>
        <w:gridCol w:w="8182"/>
      </w:tblGrid>
      <w:tr w:rsidR="00000000">
        <w:trPr>
          <w:trHeight w:val="407"/>
          <w:tblHeader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Рег. №</w:t>
            </w:r>
          </w:p>
        </w:tc>
        <w:tc>
          <w:tcPr>
            <w:tcW w:w="5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участника запроса цен (объявления о покупке)</w:t>
            </w:r>
          </w:p>
        </w:tc>
        <w:tc>
          <w:tcPr>
            <w:tcW w:w="8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Предложение</w:t>
            </w:r>
          </w:p>
        </w:tc>
      </w:tr>
      <w:tr w:rsidR="0000000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sz w:val="22"/>
                <w:szCs w:val="22"/>
              </w:rPr>
              <w:t>549693-103684</w:t>
            </w:r>
          </w:p>
        </w:tc>
        <w:tc>
          <w:tcPr>
            <w:tcW w:w="575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ООО "Лидер-Строй"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normal"/>
            </w:pPr>
            <w:r>
              <w:rPr>
                <w:sz w:val="22"/>
                <w:szCs w:val="22"/>
              </w:rPr>
              <w:t>Цена: 2 995 600,00 руб.</w:t>
            </w:r>
            <w:r>
              <w:rPr>
                <w:sz w:val="22"/>
                <w:szCs w:val="22"/>
              </w:rPr>
              <w:br/>
              <w:t>предлагаем поставку фундаментов под анкерные опоры для нужд ОАО "Янтарьэнергосервис"</w:t>
            </w:r>
          </w:p>
        </w:tc>
      </w:tr>
      <w:tr w:rsidR="0000000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pPr>
              <w:jc w:val="center"/>
            </w:pPr>
            <w:r>
              <w:rPr>
                <w:sz w:val="22"/>
                <w:szCs w:val="22"/>
              </w:rPr>
              <w:t>549693-12614</w:t>
            </w:r>
          </w:p>
        </w:tc>
        <w:tc>
          <w:tcPr>
            <w:tcW w:w="575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555F">
            <w:r>
              <w:rPr>
                <w:sz w:val="22"/>
                <w:szCs w:val="22"/>
              </w:rPr>
              <w:t>ООО "ЭнергоКомплект"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normal"/>
            </w:pPr>
            <w:r>
              <w:rPr>
                <w:sz w:val="22"/>
                <w:szCs w:val="22"/>
              </w:rPr>
              <w:t>Цена: 3 000 000,00 руб.</w:t>
            </w:r>
          </w:p>
        </w:tc>
      </w:tr>
    </w:tbl>
    <w:p w:rsidR="00000000" w:rsidRDefault="0022555F">
      <w:pPr>
        <w:ind w:firstLine="720"/>
        <w:jc w:val="both"/>
      </w:pPr>
      <w:r>
        <w:rPr>
          <w:b/>
          <w:bCs/>
          <w:sz w:val="22"/>
          <w:szCs w:val="22"/>
        </w:rPr>
        <w:t> </w:t>
      </w:r>
    </w:p>
    <w:p w:rsidR="00000000" w:rsidRDefault="0022555F">
      <w:pPr>
        <w:ind w:firstLine="720"/>
        <w:jc w:val="both"/>
      </w:pPr>
      <w:r>
        <w:rPr>
          <w:b/>
          <w:bCs/>
        </w:rPr>
        <w:t> </w:t>
      </w:r>
    </w:p>
    <w:p w:rsidR="00000000" w:rsidRDefault="0022555F">
      <w:pPr>
        <w:jc w:val="center"/>
      </w:pPr>
      <w:r>
        <w:rPr>
          <w:b/>
          <w:bCs/>
          <w:sz w:val="28"/>
          <w:szCs w:val="28"/>
        </w:rPr>
        <w:t>3. Результаты голосования комиссии</w:t>
      </w:r>
    </w:p>
    <w:p w:rsidR="00000000" w:rsidRDefault="0022555F">
      <w:pPr>
        <w:rPr>
          <w:rFonts w:eastAsia="Times New Roman"/>
        </w:rPr>
      </w:pPr>
    </w:p>
    <w:p w:rsidR="00000000" w:rsidRDefault="0022555F">
      <w:pPr>
        <w:ind w:firstLine="720"/>
        <w:jc w:val="both"/>
      </w:pPr>
      <w:r>
        <w:rPr>
          <w:b/>
          <w:bCs/>
          <w:sz w:val="22"/>
          <w:szCs w:val="22"/>
        </w:rPr>
        <w:t>Председатель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Копылов В.А.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</w:tbl>
    <w:p w:rsidR="00000000" w:rsidRDefault="0022555F">
      <w:pPr>
        <w:rPr>
          <w:rFonts w:eastAsia="Times New Roman"/>
        </w:rPr>
      </w:pPr>
    </w:p>
    <w:p w:rsidR="00000000" w:rsidRDefault="0022555F">
      <w:pPr>
        <w:ind w:firstLine="720"/>
        <w:jc w:val="both"/>
      </w:pPr>
      <w:r>
        <w:rPr>
          <w:b/>
          <w:bCs/>
          <w:sz w:val="22"/>
          <w:szCs w:val="22"/>
        </w:rPr>
        <w:t>Члены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Зимин Г.А.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Мирманов А.В.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Синицин В.В.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Наливайко С.Г.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Стельнова Е.Н.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Душкина А.Н.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(Не выступал)</w:t>
            </w:r>
          </w:p>
        </w:tc>
      </w:tr>
    </w:tbl>
    <w:p w:rsidR="00000000" w:rsidRDefault="0022555F">
      <w:pPr>
        <w:rPr>
          <w:rFonts w:eastAsia="Times New Roman"/>
        </w:rPr>
      </w:pPr>
    </w:p>
    <w:p w:rsidR="00000000" w:rsidRDefault="0022555F">
      <w:pPr>
        <w:ind w:firstLine="720"/>
        <w:jc w:val="both"/>
      </w:pPr>
      <w:r>
        <w:rPr>
          <w:b/>
          <w:bCs/>
          <w:sz w:val="22"/>
          <w:szCs w:val="22"/>
        </w:rPr>
        <w:t>Секретарь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000000">
        <w:tc>
          <w:tcPr>
            <w:tcW w:w="4177" w:type="dxa"/>
            <w:hideMark/>
          </w:tcPr>
          <w:p w:rsidR="00000000" w:rsidRDefault="00225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Савченко А.И.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(Не выступал)</w:t>
            </w:r>
          </w:p>
        </w:tc>
      </w:tr>
    </w:tbl>
    <w:p w:rsidR="00000000" w:rsidRDefault="0022555F">
      <w:pPr>
        <w:rPr>
          <w:rFonts w:eastAsia="Times New Roman"/>
        </w:rPr>
      </w:pPr>
    </w:p>
    <w:p w:rsidR="00000000" w:rsidRDefault="0022555F">
      <w:pPr>
        <w:jc w:val="center"/>
      </w:pPr>
      <w:r>
        <w:t>-----------------------------------------------------------------------------------------------------------------------------------------------------</w:t>
      </w:r>
    </w:p>
    <w:p w:rsidR="00000000" w:rsidRDefault="0022555F">
      <w:pPr>
        <w:jc w:val="center"/>
      </w:pPr>
      <w:r>
        <w:t> </w:t>
      </w:r>
    </w:p>
    <w:p w:rsidR="00000000" w:rsidRDefault="0022555F">
      <w:pPr>
        <w:jc w:val="center"/>
      </w:pPr>
      <w:r>
        <w:rPr>
          <w:b/>
          <w:bCs/>
        </w:rPr>
        <w:t>Председатель комиссии:</w:t>
      </w:r>
    </w:p>
    <w:p w:rsidR="00000000" w:rsidRDefault="0022555F">
      <w:pPr>
        <w:jc w:val="center"/>
      </w:pPr>
      <w:r>
        <w:rPr>
          <w:b/>
          <w:bCs/>
          <w:sz w:val="16"/>
          <w:szCs w:val="16"/>
        </w:rPr>
        <w:t> </w:t>
      </w:r>
    </w:p>
    <w:tbl>
      <w:tblPr>
        <w:tblW w:w="9108" w:type="dxa"/>
        <w:tblInd w:w="3240" w:type="dxa"/>
        <w:tblCellMar>
          <w:left w:w="0" w:type="dxa"/>
          <w:right w:w="0" w:type="dxa"/>
        </w:tblCellMar>
        <w:tblLook w:val="04A0"/>
      </w:tblPr>
      <w:tblGrid>
        <w:gridCol w:w="4680"/>
        <w:gridCol w:w="4428"/>
      </w:tblGrid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lastRenderedPageBreak/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Копылов В.А.</w:t>
            </w:r>
          </w:p>
        </w:tc>
      </w:tr>
    </w:tbl>
    <w:p w:rsidR="00000000" w:rsidRDefault="0022555F">
      <w:pPr>
        <w:jc w:val="center"/>
      </w:pPr>
      <w:r>
        <w:rPr>
          <w:b/>
          <w:bCs/>
        </w:rPr>
        <w:t> </w:t>
      </w:r>
    </w:p>
    <w:p w:rsidR="00000000" w:rsidRDefault="0022555F">
      <w:pPr>
        <w:jc w:val="center"/>
      </w:pPr>
      <w:r>
        <w:rPr>
          <w:b/>
          <w:bCs/>
        </w:rPr>
        <w:t>Члены комиссии:</w:t>
      </w:r>
    </w:p>
    <w:p w:rsidR="00000000" w:rsidRDefault="0022555F">
      <w:pPr>
        <w:jc w:val="center"/>
      </w:pPr>
      <w:r>
        <w:rPr>
          <w:b/>
          <w:bCs/>
          <w:sz w:val="16"/>
          <w:szCs w:val="16"/>
        </w:rPr>
        <w:t> </w:t>
      </w:r>
    </w:p>
    <w:tbl>
      <w:tblPr>
        <w:tblW w:w="9108" w:type="dxa"/>
        <w:tblInd w:w="3240" w:type="dxa"/>
        <w:tblCellMar>
          <w:left w:w="0" w:type="dxa"/>
          <w:right w:w="0" w:type="dxa"/>
        </w:tblCellMar>
        <w:tblLook w:val="04A0"/>
      </w:tblPr>
      <w:tblGrid>
        <w:gridCol w:w="4680"/>
        <w:gridCol w:w="4428"/>
      </w:tblGrid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Зимин Г.А.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Мирманов А.В.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Синицин В.В.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Наливайко С.Г.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Стельнова Е.Н.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Душкина А.Н.</w:t>
            </w:r>
          </w:p>
        </w:tc>
      </w:tr>
    </w:tbl>
    <w:p w:rsidR="00000000" w:rsidRDefault="0022555F">
      <w:pPr>
        <w:jc w:val="center"/>
      </w:pPr>
      <w:r>
        <w:rPr>
          <w:b/>
          <w:bCs/>
          <w:sz w:val="16"/>
          <w:szCs w:val="16"/>
        </w:rPr>
        <w:t> </w:t>
      </w:r>
    </w:p>
    <w:tbl>
      <w:tblPr>
        <w:tblW w:w="9110" w:type="dxa"/>
        <w:tblInd w:w="3240" w:type="dxa"/>
        <w:tblCellMar>
          <w:left w:w="0" w:type="dxa"/>
          <w:right w:w="0" w:type="dxa"/>
        </w:tblCellMar>
        <w:tblLook w:val="04A0"/>
      </w:tblPr>
      <w:tblGrid>
        <w:gridCol w:w="4681"/>
        <w:gridCol w:w="4429"/>
      </w:tblGrid>
      <w:tr w:rsidR="00000000">
        <w:tc>
          <w:tcPr>
            <w:tcW w:w="9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jc w:val="center"/>
            </w:pPr>
            <w:r>
              <w:rPr>
                <w:b/>
                <w:bCs/>
              </w:rPr>
              <w:t>Секретарь комиссии:</w:t>
            </w:r>
          </w:p>
        </w:tc>
      </w:tr>
      <w:tr w:rsidR="00000000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555F">
            <w:pPr>
              <w:pStyle w:val="35"/>
              <w:keepNext w:val="0"/>
              <w:jc w:val="both"/>
            </w:pPr>
            <w:r>
              <w:rPr>
                <w:b w:val="0"/>
                <w:bCs w:val="0"/>
              </w:rPr>
              <w:t>Савченко А.И.</w:t>
            </w:r>
          </w:p>
        </w:tc>
      </w:tr>
    </w:tbl>
    <w:p w:rsidR="0022555F" w:rsidRDefault="0022555F">
      <w:pPr>
        <w:jc w:val="both"/>
      </w:pPr>
      <w:r>
        <w:t> </w:t>
      </w:r>
    </w:p>
    <w:sectPr w:rsidR="0022555F">
      <w:pgSz w:w="16838" w:h="11906"/>
      <w:pgMar w:top="567" w:right="567" w:bottom="56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compat/>
  <w:rsids>
    <w:rsidRoot w:val="001B735B"/>
    <w:rsid w:val="001B735B"/>
    <w:rsid w:val="0022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ind w:firstLine="33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keepNext/>
      <w:autoSpaceDE w:val="0"/>
      <w:autoSpaceDN w:val="0"/>
      <w:ind w:firstLine="33"/>
      <w:outlineLvl w:val="1"/>
    </w:pPr>
  </w:style>
  <w:style w:type="paragraph" w:styleId="3">
    <w:name w:val="heading 3"/>
    <w:basedOn w:val="a"/>
    <w:link w:val="30"/>
    <w:uiPriority w:val="9"/>
    <w:qFormat/>
    <w:pPr>
      <w:keepNext/>
      <w:autoSpaceDE w:val="0"/>
      <w:autoSpaceDN w:val="0"/>
      <w:ind w:firstLine="34"/>
      <w:jc w:val="center"/>
      <w:outlineLvl w:val="2"/>
    </w:pPr>
  </w:style>
  <w:style w:type="paragraph" w:styleId="4">
    <w:name w:val="heading 4"/>
    <w:basedOn w:val="a"/>
    <w:link w:val="40"/>
    <w:uiPriority w:val="9"/>
    <w:qFormat/>
    <w:pPr>
      <w:keepNext/>
      <w:autoSpaceDE w:val="0"/>
      <w:autoSpaceDN w:val="0"/>
      <w:ind w:hanging="108"/>
      <w:jc w:val="center"/>
      <w:outlineLvl w:val="3"/>
    </w:pPr>
  </w:style>
  <w:style w:type="paragraph" w:styleId="5">
    <w:name w:val="heading 5"/>
    <w:basedOn w:val="a"/>
    <w:link w:val="50"/>
    <w:uiPriority w:val="9"/>
    <w:qFormat/>
    <w:pPr>
      <w:keepNext/>
      <w:autoSpaceDE w:val="0"/>
      <w:autoSpaceDN w:val="0"/>
      <w:jc w:val="center"/>
      <w:outlineLvl w:val="4"/>
    </w:pPr>
  </w:style>
  <w:style w:type="paragraph" w:styleId="6">
    <w:name w:val="heading 6"/>
    <w:basedOn w:val="a"/>
    <w:link w:val="60"/>
    <w:uiPriority w:val="9"/>
    <w:qFormat/>
    <w:pPr>
      <w:keepNext/>
      <w:autoSpaceDE w:val="0"/>
      <w:autoSpaceDN w:val="0"/>
      <w:ind w:firstLine="318"/>
      <w:jc w:val="both"/>
      <w:outlineLvl w:val="5"/>
    </w:pPr>
  </w:style>
  <w:style w:type="paragraph" w:styleId="7">
    <w:name w:val="heading 7"/>
    <w:basedOn w:val="a"/>
    <w:link w:val="70"/>
    <w:uiPriority w:val="9"/>
    <w:qFormat/>
    <w:pPr>
      <w:keepNext/>
      <w:ind w:firstLine="34"/>
      <w:jc w:val="both"/>
      <w:outlineLvl w:val="6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Theme="minorEastAsia"/>
      <w:sz w:val="24"/>
      <w:szCs w:val="24"/>
    </w:rPr>
  </w:style>
  <w:style w:type="paragraph" w:styleId="ab">
    <w:name w:val="Title"/>
    <w:basedOn w:val="a"/>
    <w:link w:val="ac"/>
    <w:uiPriority w:val="10"/>
    <w:qFormat/>
    <w:pPr>
      <w:autoSpaceDE w:val="0"/>
      <w:autoSpaceDN w:val="0"/>
      <w:jc w:val="center"/>
    </w:pPr>
    <w:rPr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eastAsiaTheme="minorEastAsia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pPr>
      <w:autoSpaceDE w:val="0"/>
      <w:autoSpaceDN w:val="0"/>
      <w:ind w:firstLine="567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Pr>
      <w:rFonts w:eastAsiaTheme="minorEastAsia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eastAsiaTheme="minorEastAsia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Pr>
      <w:color w:val="FF0000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eastAsiaTheme="minorEastAsi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eastAsiaTheme="minorEastAsia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pPr>
      <w:ind w:firstLine="318"/>
      <w:jc w:val="both"/>
    </w:pPr>
    <w:rPr>
      <w:color w:val="FF000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eastAsiaTheme="minorEastAsia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af3">
    <w:name w:val="annotation subject"/>
    <w:basedOn w:val="a"/>
    <w:link w:val="af4"/>
    <w:uiPriority w:val="99"/>
    <w:semiHidden/>
    <w:unhideWhenUsed/>
    <w:rPr>
      <w:b/>
      <w:bCs/>
      <w:sz w:val="20"/>
      <w:szCs w:val="20"/>
    </w:rPr>
  </w:style>
  <w:style w:type="character" w:customStyle="1" w:styleId="af4">
    <w:name w:val="Тема примечания Знак"/>
    <w:basedOn w:val="a6"/>
    <w:link w:val="af3"/>
    <w:uiPriority w:val="99"/>
    <w:semiHidden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Theme="minorEastAsia" w:hAnsi="Tahoma" w:cs="Tahoma"/>
      <w:sz w:val="16"/>
      <w:szCs w:val="16"/>
    </w:rPr>
  </w:style>
  <w:style w:type="paragraph" w:customStyle="1" w:styleId="35">
    <w:name w:val="3"/>
    <w:basedOn w:val="a"/>
    <w:pPr>
      <w:keepNext/>
      <w:autoSpaceDE w:val="0"/>
      <w:autoSpaceDN w:val="0"/>
      <w:jc w:val="center"/>
    </w:pPr>
    <w:rPr>
      <w:b/>
      <w:bCs/>
    </w:rPr>
  </w:style>
  <w:style w:type="paragraph" w:customStyle="1" w:styleId="bodytext21">
    <w:name w:val="bodytext21"/>
    <w:basedOn w:val="a"/>
    <w:pPr>
      <w:autoSpaceDE w:val="0"/>
      <w:autoSpaceDN w:val="0"/>
      <w:ind w:firstLine="567"/>
      <w:jc w:val="both"/>
    </w:pPr>
  </w:style>
  <w:style w:type="paragraph" w:customStyle="1" w:styleId="8">
    <w:name w:val="8"/>
    <w:basedOn w:val="a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4"/>
    <w:basedOn w:val="a"/>
    <w:pPr>
      <w:keepNext/>
      <w:autoSpaceDE w:val="0"/>
      <w:autoSpaceDN w:val="0"/>
    </w:pPr>
    <w:rPr>
      <w:b/>
      <w:bCs/>
    </w:rPr>
  </w:style>
  <w:style w:type="paragraph" w:customStyle="1" w:styleId="bodytextindent">
    <w:name w:val="bodytextindent"/>
    <w:basedOn w:val="a"/>
    <w:pPr>
      <w:spacing w:after="120"/>
      <w:ind w:left="283"/>
    </w:pPr>
  </w:style>
  <w:style w:type="paragraph" w:customStyle="1" w:styleId="bodytext2">
    <w:name w:val="bodytext2"/>
    <w:basedOn w:val="a"/>
    <w:pPr>
      <w:ind w:hanging="349"/>
      <w:jc w:val="both"/>
    </w:pPr>
    <w:rPr>
      <w:sz w:val="28"/>
      <w:szCs w:val="28"/>
    </w:rPr>
  </w:style>
  <w:style w:type="paragraph" w:customStyle="1" w:styleId="af7">
    <w:name w:val="a"/>
    <w:basedOn w:val="a"/>
    <w:pPr>
      <w:autoSpaceDE w:val="0"/>
      <w:autoSpaceDN w:val="0"/>
      <w:ind w:firstLine="709"/>
      <w:jc w:val="both"/>
    </w:pPr>
  </w:style>
  <w:style w:type="paragraph" w:customStyle="1" w:styleId="normal">
    <w:name w:val="normal"/>
    <w:basedOn w:val="a"/>
    <w:rPr>
      <w:sz w:val="20"/>
      <w:szCs w:val="20"/>
    </w:rPr>
  </w:style>
  <w:style w:type="paragraph" w:customStyle="1" w:styleId="a00">
    <w:name w:val="a0"/>
    <w:basedOn w:val="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dcterms:created xsi:type="dcterms:W3CDTF">2015-09-23T10:21:00Z</dcterms:created>
  <dcterms:modified xsi:type="dcterms:W3CDTF">2015-09-23T10:21:00Z</dcterms:modified>
</cp:coreProperties>
</file>